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034F9658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Pr="000C5734">
        <w:rPr>
          <w:lang w:val="en-US"/>
        </w:rPr>
        <w:tab/>
      </w:r>
      <w:r w:rsidR="007D7AF1" w:rsidRPr="007D7AF1">
        <w:rPr>
          <w:lang w:val="en-US"/>
        </w:rPr>
        <w:t>R1-1809193</w:t>
      </w:r>
    </w:p>
    <w:p w14:paraId="43AE20FE" w14:textId="0B5A47BD" w:rsidR="00045AA3" w:rsidRPr="007679B0" w:rsidRDefault="00B91755" w:rsidP="00045AA3">
      <w:pPr>
        <w:pStyle w:val="3GPPHeader"/>
        <w:rPr>
          <w:lang w:val="en-US"/>
        </w:rPr>
      </w:pPr>
      <w:proofErr w:type="spellStart"/>
      <w:r>
        <w:rPr>
          <w:lang w:val="en-US"/>
        </w:rPr>
        <w:t>Göteborg</w:t>
      </w:r>
      <w:proofErr w:type="spellEnd"/>
      <w:r>
        <w:rPr>
          <w:lang w:val="en-US"/>
        </w:rPr>
        <w:t>, Sweden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20</w:t>
      </w:r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-24</w:t>
      </w:r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67529F5B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A50D5F" w:rsidRPr="00A50D5F">
        <w:t>Simulation assumptions and evaluation methodology for SRS enhancements</w:t>
      </w:r>
    </w:p>
    <w:p w14:paraId="00EFAC0D" w14:textId="031ABDCC" w:rsidR="00904CFD" w:rsidRPr="00B91755" w:rsidRDefault="00904CFD" w:rsidP="00904CFD">
      <w:pPr>
        <w:pStyle w:val="3GPPHeader"/>
        <w:rPr>
          <w:lang w:val="en-US"/>
        </w:rPr>
      </w:pPr>
      <w:r w:rsidRPr="00B91755">
        <w:rPr>
          <w:lang w:val="en-US"/>
        </w:rPr>
        <w:t>Agenda Item:</w:t>
      </w:r>
      <w:r w:rsidRPr="00B91755">
        <w:rPr>
          <w:lang w:val="en-US"/>
        </w:rPr>
        <w:tab/>
      </w:r>
      <w:r w:rsidR="00A50D5F" w:rsidRPr="00A50D5F">
        <w:rPr>
          <w:lang w:val="en-US"/>
        </w:rPr>
        <w:t>6.2.3.1.3   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9E88E09" w14:textId="78702343" w:rsidR="006356CF" w:rsidRPr="007D7AF1" w:rsidRDefault="006356CF" w:rsidP="006356CF">
      <w:pPr>
        <w:pStyle w:val="BodyText"/>
      </w:pPr>
      <w:r w:rsidRPr="007D7AF1">
        <w:t xml:space="preserve">In the WID on </w:t>
      </w:r>
      <w:r w:rsidR="00C6554C" w:rsidRPr="007D7AF1">
        <w:t xml:space="preserve">DL MIMO efficiency </w:t>
      </w:r>
      <w:r w:rsidRPr="007D7AF1">
        <w:t xml:space="preserve">enhancements on </w:t>
      </w:r>
      <w:r w:rsidR="00C6554C" w:rsidRPr="007D7AF1">
        <w:t>LTE</w:t>
      </w:r>
      <w:r w:rsidRPr="007D7AF1">
        <w:t xml:space="preserve"> </w:t>
      </w:r>
      <w:r w:rsidR="00726CE7" w:rsidRPr="007D7AF1">
        <w:t>[1]</w:t>
      </w:r>
      <w:r w:rsidRPr="007D7AF1">
        <w:t>, one of the objectives is</w:t>
      </w:r>
      <w:r w:rsidR="00C6554C" w:rsidRPr="007D7AF1">
        <w:t xml:space="preserve"> to introduce </w:t>
      </w:r>
      <w:r w:rsidR="004A7067" w:rsidRPr="007D7AF1">
        <w:t xml:space="preserve">multi-symbol </w:t>
      </w:r>
      <w:r w:rsidR="00C6554C" w:rsidRPr="007D7AF1">
        <w:t>SRS</w:t>
      </w:r>
      <w:r w:rsidR="004A7067" w:rsidRPr="007D7AF1">
        <w:t xml:space="preserve"> for one or multiple UEs on a UL normal subframe</w:t>
      </w:r>
      <w:r w:rsidRPr="007D7AF1">
        <w:t xml:space="preserve">. </w:t>
      </w:r>
      <w:bookmarkStart w:id="0" w:name="_GoBack"/>
      <w:bookmarkEnd w:id="0"/>
    </w:p>
    <w:p w14:paraId="0105C9CA" w14:textId="77777777" w:rsidR="00630B16" w:rsidRPr="007D7AF1" w:rsidRDefault="00630B16" w:rsidP="006356CF">
      <w:pPr>
        <w:pStyle w:val="BodyText"/>
      </w:pPr>
    </w:p>
    <w:p w14:paraId="6161770C" w14:textId="77777777" w:rsidR="00C6554C" w:rsidRPr="007D7AF1" w:rsidRDefault="00C6554C" w:rsidP="00F72960">
      <w:pPr>
        <w:numPr>
          <w:ilvl w:val="0"/>
          <w:numId w:val="15"/>
        </w:numPr>
        <w:spacing w:after="0"/>
        <w:rPr>
          <w:lang w:eastAsia="ko-KR"/>
        </w:rPr>
      </w:pPr>
      <w:r w:rsidRPr="007D7AF1">
        <w:rPr>
          <w:lang w:eastAsia="ko-KR"/>
        </w:rPr>
        <w:t>Enhance SRS</w:t>
      </w:r>
      <w:r w:rsidRPr="007D7AF1">
        <w:rPr>
          <w:rFonts w:hint="eastAsia"/>
          <w:lang w:eastAsia="ko-KR"/>
        </w:rPr>
        <w:t xml:space="preserve"> </w:t>
      </w:r>
      <w:r w:rsidRPr="007D7AF1">
        <w:rPr>
          <w:lang w:eastAsia="ko-KR"/>
        </w:rPr>
        <w:t>capacity and coverage [RAN1]</w:t>
      </w:r>
    </w:p>
    <w:p w14:paraId="7320E0BF" w14:textId="77777777" w:rsidR="00C6554C" w:rsidRPr="007D7AF1" w:rsidRDefault="00C6554C" w:rsidP="00F72960">
      <w:pPr>
        <w:numPr>
          <w:ilvl w:val="1"/>
          <w:numId w:val="14"/>
        </w:numPr>
        <w:snapToGrid w:val="0"/>
        <w:ind w:right="-99"/>
        <w:jc w:val="left"/>
        <w:textAlignment w:val="auto"/>
        <w:rPr>
          <w:highlight w:val="cyan"/>
          <w:lang w:eastAsia="ko-KR"/>
        </w:rPr>
      </w:pPr>
      <w:r w:rsidRPr="007D7AF1">
        <w:rPr>
          <w:highlight w:val="cyan"/>
          <w:lang w:eastAsia="ko-KR"/>
        </w:rPr>
        <w:t>Introduce more than one symbol for SRS for one UE</w:t>
      </w:r>
      <w:r w:rsidRPr="007D7AF1">
        <w:rPr>
          <w:highlight w:val="cyan"/>
        </w:rPr>
        <w:t xml:space="preserve"> or for multiple UEs</w:t>
      </w:r>
      <w:r w:rsidRPr="007D7AF1">
        <w:rPr>
          <w:highlight w:val="cyan"/>
          <w:lang w:eastAsia="ko-KR"/>
        </w:rPr>
        <w:t xml:space="preserve"> on a UL normal subframe</w:t>
      </w:r>
    </w:p>
    <w:p w14:paraId="4F5AF3F9" w14:textId="77777777" w:rsidR="00C6554C" w:rsidRPr="007D7AF1" w:rsidRDefault="00C6554C" w:rsidP="00F72960">
      <w:pPr>
        <w:numPr>
          <w:ilvl w:val="3"/>
          <w:numId w:val="15"/>
        </w:numPr>
        <w:spacing w:after="0"/>
        <w:rPr>
          <w:highlight w:val="cyan"/>
          <w:lang w:eastAsia="ko-KR"/>
        </w:rPr>
      </w:pPr>
      <w:r w:rsidRPr="007D7AF1">
        <w:rPr>
          <w:highlight w:val="cyan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6F4E8992" w14:textId="77777777" w:rsidR="00C6554C" w:rsidRPr="007D7AF1" w:rsidRDefault="00C6554C" w:rsidP="00F72960">
      <w:pPr>
        <w:numPr>
          <w:ilvl w:val="3"/>
          <w:numId w:val="15"/>
        </w:numPr>
        <w:spacing w:after="0"/>
        <w:rPr>
          <w:highlight w:val="cyan"/>
          <w:lang w:eastAsia="ko-KR"/>
        </w:rPr>
      </w:pPr>
      <w:r w:rsidRPr="007D7AF1">
        <w:rPr>
          <w:highlight w:val="cyan"/>
          <w:lang w:eastAsia="ko-KR"/>
        </w:rPr>
        <w:t>Enhancements on PUCCH and PUSCH are not in scope</w:t>
      </w:r>
    </w:p>
    <w:p w14:paraId="33009861" w14:textId="77777777" w:rsidR="00C6554C" w:rsidRPr="007D7AF1" w:rsidRDefault="00C6554C" w:rsidP="00F72960">
      <w:pPr>
        <w:numPr>
          <w:ilvl w:val="1"/>
          <w:numId w:val="14"/>
        </w:numPr>
        <w:snapToGrid w:val="0"/>
        <w:ind w:right="-99"/>
        <w:jc w:val="left"/>
        <w:textAlignment w:val="auto"/>
        <w:rPr>
          <w:lang w:eastAsia="ko-KR"/>
        </w:rPr>
      </w:pPr>
      <w:r w:rsidRPr="007D7AF1">
        <w:rPr>
          <w:lang w:eastAsia="ko-KR"/>
        </w:rPr>
        <w:t xml:space="preserve">Introduce virtual cell ID for SRS </w:t>
      </w:r>
    </w:p>
    <w:p w14:paraId="633681DA" w14:textId="77777777" w:rsidR="00630B16" w:rsidRPr="007D7AF1" w:rsidRDefault="00630B16" w:rsidP="006356CF">
      <w:pPr>
        <w:pStyle w:val="BodyText"/>
      </w:pPr>
    </w:p>
    <w:p w14:paraId="6AE1C7BC" w14:textId="4166F683" w:rsidR="006356CF" w:rsidRPr="007D7AF1" w:rsidRDefault="00701516" w:rsidP="006356CF">
      <w:pPr>
        <w:pStyle w:val="BodyText"/>
      </w:pPr>
      <w:r>
        <w:t xml:space="preserve">To </w:t>
      </w:r>
      <w:r w:rsidR="008E5E96">
        <w:t xml:space="preserve">better understand and compare the benefits of various possible options in supporting this multi-symbol SRS feature, some simulations are inevitably needed. </w:t>
      </w:r>
      <w:r w:rsidR="004A7067" w:rsidRPr="007D7AF1">
        <w:t xml:space="preserve">In this paper, we provide our views on </w:t>
      </w:r>
      <w:r w:rsidR="007D7AF1" w:rsidRPr="007D7AF1">
        <w:t>the simulation assumptions</w:t>
      </w:r>
      <w:r w:rsidR="004A7067" w:rsidRPr="007D7AF1">
        <w:t>.</w:t>
      </w:r>
      <w:r w:rsidR="00C6554C" w:rsidRPr="007D7AF1">
        <w:t xml:space="preserve"> </w:t>
      </w:r>
    </w:p>
    <w:p w14:paraId="23E6E530" w14:textId="77777777" w:rsidR="00630B16" w:rsidRPr="004A7067" w:rsidRDefault="00630B16" w:rsidP="006356CF">
      <w:pPr>
        <w:pStyle w:val="BodyText"/>
      </w:pPr>
    </w:p>
    <w:p w14:paraId="68A87CF8" w14:textId="026EF2F4" w:rsidR="00B91755" w:rsidRDefault="00B91755" w:rsidP="00B91755">
      <w:pPr>
        <w:pStyle w:val="Heading1"/>
      </w:pPr>
      <w:r>
        <w:t>Discussion</w:t>
      </w:r>
    </w:p>
    <w:p w14:paraId="4BA4F29B" w14:textId="419A7F2F" w:rsidR="00ED6AD6" w:rsidRDefault="00FA4C62" w:rsidP="00EB1161">
      <w:pPr>
        <w:pStyle w:val="Heading2"/>
      </w:pPr>
      <w:r>
        <w:t xml:space="preserve">Channel </w:t>
      </w:r>
      <w:r w:rsidR="00DB183C">
        <w:t>m</w:t>
      </w:r>
      <w:r>
        <w:t>odel</w:t>
      </w:r>
      <w:r w:rsidR="00DB183C">
        <w:t xml:space="preserve"> and scenario</w:t>
      </w:r>
    </w:p>
    <w:p w14:paraId="6EB5BACA" w14:textId="1EF3300F" w:rsidR="00DB183C" w:rsidRDefault="00FA4C62" w:rsidP="00FA4C62">
      <w:r>
        <w:t>In [2], five different CDL models are defined</w:t>
      </w:r>
      <w:r w:rsidR="008E5E96">
        <w:t xml:space="preserve"> for link level simulations in NR</w:t>
      </w:r>
      <w:r w:rsidR="00120474">
        <w:t xml:space="preserve"> covering carrier frequencies both below and above 6GHz</w:t>
      </w:r>
      <w:r>
        <w:t xml:space="preserve">.  CDL-A, CDL-B, and CDL-C </w:t>
      </w:r>
      <w:r w:rsidR="00713485">
        <w:t>models represent NLOS channel profiles</w:t>
      </w:r>
      <w:r w:rsidR="008E5E96">
        <w:t>, while</w:t>
      </w:r>
      <w:r w:rsidR="00713485">
        <w:t xml:space="preserve"> CDL-D and CDL-E models represent LOS channel profiles. </w:t>
      </w:r>
      <w:r w:rsidR="00120474">
        <w:t xml:space="preserve"> The models are equally applicable to link level simulations for LTE up</w:t>
      </w:r>
      <w:r w:rsidR="006D0286">
        <w:t xml:space="preserve"> </w:t>
      </w:r>
      <w:r w:rsidR="00120474">
        <w:t xml:space="preserve">to 6GHz. </w:t>
      </w:r>
      <w:r w:rsidR="00713485">
        <w:t xml:space="preserve"> Given</w:t>
      </w:r>
      <w:r w:rsidR="00DB183C">
        <w:t xml:space="preserve"> MIMO is more </w:t>
      </w:r>
      <w:r w:rsidR="006D0286">
        <w:t>beneficial</w:t>
      </w:r>
      <w:r w:rsidR="00120474">
        <w:t xml:space="preserve"> under</w:t>
      </w:r>
      <w:r w:rsidR="00713485">
        <w:t xml:space="preserve"> NLOS channel environments</w:t>
      </w:r>
      <w:r w:rsidR="00DB183C">
        <w:t xml:space="preserve">, CDL-A model can be assumed as a starting point for link-level evaluations. </w:t>
      </w:r>
    </w:p>
    <w:p w14:paraId="3EB959AD" w14:textId="77777777" w:rsidR="00DB183C" w:rsidRDefault="00DB183C" w:rsidP="00FA4C62"/>
    <w:p w14:paraId="67B21E28" w14:textId="4B733767" w:rsidR="00DB183C" w:rsidRDefault="00DB183C" w:rsidP="00DB183C">
      <w:pPr>
        <w:pStyle w:val="Proposal"/>
      </w:pPr>
      <w:bookmarkStart w:id="1" w:name="_Toc521701961"/>
      <w:r>
        <w:t>Use CDL-A model from 38.901 as a starting point for link-level evaluations; delay spread</w:t>
      </w:r>
      <w:r w:rsidR="00C46BC0">
        <w:t>s of either 100ns or 300ns</w:t>
      </w:r>
      <w:r>
        <w:t xml:space="preserve"> can be assumed</w:t>
      </w:r>
      <w:r w:rsidRPr="009E715F">
        <w:t>.</w:t>
      </w:r>
      <w:bookmarkEnd w:id="1"/>
    </w:p>
    <w:p w14:paraId="198686BF" w14:textId="2581A02D" w:rsidR="00713485" w:rsidRDefault="00713485" w:rsidP="00FA4C62"/>
    <w:p w14:paraId="1B9C0E83" w14:textId="58C08C97" w:rsidR="0021471C" w:rsidRDefault="0081579A" w:rsidP="00ED6AD6">
      <w:r>
        <w:t xml:space="preserve">In our view, </w:t>
      </w:r>
      <w:r w:rsidR="00C00794">
        <w:t>one use</w:t>
      </w:r>
      <w:r w:rsidR="004905B2">
        <w:t xml:space="preserve"> </w:t>
      </w:r>
      <w:r w:rsidR="00C00794">
        <w:t xml:space="preserve">case for multi-symbol </w:t>
      </w:r>
      <w:r>
        <w:t>SRS enhancement</w:t>
      </w:r>
      <w:r w:rsidR="00C00794">
        <w:t xml:space="preserve"> is for </w:t>
      </w:r>
      <w:r w:rsidR="006D0286">
        <w:t>reciprocity-based</w:t>
      </w:r>
      <w:r w:rsidR="00C00794">
        <w:t xml:space="preserve"> DL MIMO transmission with larger number of antenna</w:t>
      </w:r>
      <w:r w:rsidR="006D0286">
        <w:t xml:space="preserve"> at the eNB</w:t>
      </w:r>
      <w:r w:rsidR="00C00794">
        <w:t>. Therefore, a</w:t>
      </w:r>
      <w:r w:rsidR="00DB183C">
        <w:t xml:space="preserve">t the eNB side, </w:t>
      </w:r>
      <w:r w:rsidR="00C42490">
        <w:t xml:space="preserve">a 16-port array with port layout </w:t>
      </w:r>
      <m:oMath>
        <m:r>
          <w:rPr>
            <w:rFonts w:ascii="Cambria Math" w:hAnsi="Cambria Math"/>
          </w:rPr>
          <m:t>(M,N,P) = (2,4,2)</m:t>
        </m:r>
      </m:oMath>
      <w:r w:rsidR="00C42490">
        <w:t xml:space="preserve"> can be assumed as a starting point.  For antenna element spacing at the eNB,</w:t>
      </w:r>
      <w:r w:rsidR="0021471C">
        <w:t xml:space="preserve"> the vertical element spacing and the horizontal element spacing can be set to</w:t>
      </w:r>
      <w:r w:rsidR="00C42490">
        <w:t xml:space="preserve"> </w:t>
      </w:r>
      <m:oMath>
        <m:r>
          <w:rPr>
            <w:rFonts w:ascii="Cambria Math" w:hAnsi="Cambria Math"/>
          </w:rPr>
          <m:t>0.8λ</m:t>
        </m:r>
      </m:oMath>
      <w:r w:rsidR="00FA4C62">
        <w:t xml:space="preserve"> </w:t>
      </w:r>
      <w:r w:rsidR="0021471C">
        <w:t xml:space="preserve">and </w:t>
      </w:r>
      <m:oMath>
        <m:r>
          <w:rPr>
            <w:rFonts w:ascii="Cambria Math" w:hAnsi="Cambria Math"/>
          </w:rPr>
          <m:t>0.5λ</m:t>
        </m:r>
      </m:oMath>
      <w:r w:rsidR="0021471C">
        <w:t>, respectively.  At the UE side, 2 receive antennas can be assumed.</w:t>
      </w:r>
      <w:r w:rsidR="008649B7">
        <w:t xml:space="preserve">  </w:t>
      </w:r>
      <w:r w:rsidR="008A04A3">
        <w:t>Some remaining</w:t>
      </w:r>
      <w:r w:rsidR="00C46BC0">
        <w:t xml:space="preserve"> link-level evaluation</w:t>
      </w:r>
      <w:r w:rsidR="008A04A3">
        <w:t xml:space="preserve"> parameters are summarized in </w:t>
      </w:r>
      <w:r w:rsidR="00623B9C">
        <w:fldChar w:fldCharType="begin"/>
      </w:r>
      <w:r w:rsidR="00623B9C">
        <w:instrText xml:space="preserve"> REF _Ref521629442 \h </w:instrText>
      </w:r>
      <w:r w:rsidR="00623B9C">
        <w:fldChar w:fldCharType="separate"/>
      </w:r>
      <w:r w:rsidR="003E491E">
        <w:t xml:space="preserve">Table </w:t>
      </w:r>
      <w:r w:rsidR="003E491E">
        <w:rPr>
          <w:noProof/>
        </w:rPr>
        <w:t>1</w:t>
      </w:r>
      <w:r w:rsidR="00623B9C">
        <w:fldChar w:fldCharType="end"/>
      </w:r>
      <w:r w:rsidR="001C529F">
        <w:t>.</w:t>
      </w:r>
    </w:p>
    <w:p w14:paraId="306E5E23" w14:textId="77777777" w:rsidR="001C529F" w:rsidRDefault="001C529F" w:rsidP="001C529F"/>
    <w:p w14:paraId="151E254E" w14:textId="771F86DD" w:rsidR="001C529F" w:rsidRDefault="001C529F" w:rsidP="001C529F">
      <w:pPr>
        <w:pStyle w:val="Proposal"/>
      </w:pPr>
      <w:bookmarkStart w:id="2" w:name="_Toc521701962"/>
      <w:r>
        <w:t>For link-level evaluations, adopt link-level evaluation parameters given in Table 1</w:t>
      </w:r>
      <w:r w:rsidRPr="009E715F">
        <w:t>.</w:t>
      </w:r>
      <w:bookmarkEnd w:id="2"/>
    </w:p>
    <w:p w14:paraId="4408CAAD" w14:textId="1F476D10" w:rsidR="008A04A3" w:rsidRDefault="008A04A3" w:rsidP="00ED6AD6"/>
    <w:p w14:paraId="122FB00C" w14:textId="4A816D70" w:rsidR="007D7AF1" w:rsidRDefault="007D7AF1" w:rsidP="00ED6AD6"/>
    <w:p w14:paraId="62503A8D" w14:textId="29A4CA9A" w:rsidR="007D7AF1" w:rsidRDefault="007D7AF1" w:rsidP="00ED6AD6"/>
    <w:p w14:paraId="31FD491E" w14:textId="3F97F07B" w:rsidR="007D7AF1" w:rsidRDefault="007D7AF1" w:rsidP="00ED6AD6"/>
    <w:p w14:paraId="42F170F4" w14:textId="77777777" w:rsidR="007D7AF1" w:rsidRDefault="007D7AF1" w:rsidP="00ED6AD6"/>
    <w:p w14:paraId="7D477A9F" w14:textId="66896475" w:rsidR="008A04A3" w:rsidRDefault="00623B9C" w:rsidP="00C46BC0">
      <w:pPr>
        <w:pStyle w:val="Caption"/>
        <w:spacing w:after="0"/>
      </w:pPr>
      <w:bookmarkStart w:id="3" w:name="_Ref5216294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491E">
        <w:rPr>
          <w:noProof/>
        </w:rPr>
        <w:t>1</w:t>
      </w:r>
      <w:r>
        <w:fldChar w:fldCharType="end"/>
      </w:r>
      <w:bookmarkEnd w:id="3"/>
      <w:r w:rsidR="00C46BC0">
        <w:t>. Remaining link-level evaluation parameters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3978"/>
        <w:gridCol w:w="5598"/>
      </w:tblGrid>
      <w:tr w:rsidR="008A04A3" w:rsidRPr="00AE1E13" w14:paraId="28D8602A" w14:textId="77777777" w:rsidTr="00974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37E29E64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58585A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Cs w:val="16"/>
                <w:lang w:val="en-US" w:eastAsia="en-US"/>
              </w:rPr>
              <w:t>​Parameter</w:t>
            </w:r>
          </w:p>
        </w:tc>
        <w:tc>
          <w:tcPr>
            <w:tcW w:w="5598" w:type="dxa"/>
            <w:vAlign w:val="center"/>
            <w:hideMark/>
          </w:tcPr>
          <w:p w14:paraId="0BE344F0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lang w:val="en-US" w:eastAsia="en-US"/>
              </w:rPr>
              <w:t>Value</w:t>
            </w:r>
          </w:p>
        </w:tc>
      </w:tr>
      <w:tr w:rsidR="008A04A3" w:rsidRPr="00AE1E13" w14:paraId="6C7028F9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0FEDEED9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Carrier frequency​</w:t>
            </w:r>
          </w:p>
        </w:tc>
        <w:tc>
          <w:tcPr>
            <w:tcW w:w="5598" w:type="dxa"/>
            <w:vAlign w:val="center"/>
            <w:hideMark/>
          </w:tcPr>
          <w:p w14:paraId="35F0A82A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 GHz​</w:t>
            </w:r>
          </w:p>
        </w:tc>
      </w:tr>
      <w:tr w:rsidR="008A04A3" w:rsidRPr="00AE1E13" w14:paraId="39D249CF" w14:textId="77777777" w:rsidTr="009740A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25E0D0DE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Bandwidth​</w:t>
            </w:r>
          </w:p>
        </w:tc>
        <w:tc>
          <w:tcPr>
            <w:tcW w:w="5598" w:type="dxa"/>
            <w:vAlign w:val="center"/>
            <w:hideMark/>
          </w:tcPr>
          <w:p w14:paraId="3CB9AA97" w14:textId="2A57C156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20 MHz​</w:t>
            </w:r>
            <w:r w:rsidR="0069737D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( or 10MHz)</w:t>
            </w:r>
          </w:p>
        </w:tc>
      </w:tr>
      <w:tr w:rsidR="008A04A3" w:rsidRPr="00AE1E13" w14:paraId="56944E8F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536653B4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Duplex​</w:t>
            </w:r>
          </w:p>
        </w:tc>
        <w:tc>
          <w:tcPr>
            <w:tcW w:w="5598" w:type="dxa"/>
            <w:vAlign w:val="center"/>
            <w:hideMark/>
          </w:tcPr>
          <w:p w14:paraId="17A60180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TDD, LTE Configuration 2 (DL-to-UL ratio = 4, [U D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D] )​</w:t>
            </w:r>
          </w:p>
        </w:tc>
      </w:tr>
      <w:tr w:rsidR="008A04A3" w:rsidRPr="00AE1E13" w14:paraId="2654F0A9" w14:textId="77777777" w:rsidTr="009740A7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1296B398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after="0" w:line="264" w:lineRule="auto"/>
              <w:jc w:val="left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Subcarrier spacing​</w:t>
            </w:r>
          </w:p>
        </w:tc>
        <w:tc>
          <w:tcPr>
            <w:tcW w:w="5598" w:type="dxa"/>
            <w:vAlign w:val="center"/>
            <w:hideMark/>
          </w:tcPr>
          <w:p w14:paraId="3A749A6C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15 kHz​</w:t>
            </w:r>
          </w:p>
        </w:tc>
      </w:tr>
      <w:tr w:rsidR="008A04A3" w:rsidRPr="00AE1E13" w14:paraId="191DD9AB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28C92DE3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Polarization​</w:t>
            </w:r>
          </w:p>
        </w:tc>
        <w:tc>
          <w:tcPr>
            <w:tcW w:w="5598" w:type="dxa"/>
            <w:vAlign w:val="center"/>
            <w:hideMark/>
          </w:tcPr>
          <w:p w14:paraId="48F21FA0" w14:textId="19505A4A" w:rsidR="008A04A3" w:rsidRPr="00AE1E13" w:rsidRDefault="00E70050" w:rsidP="009740A7">
            <w:pPr>
              <w:overflowPunct/>
              <w:autoSpaceDE/>
              <w:autoSpaceDN/>
              <w:adjustRightInd/>
              <w:spacing w:after="0" w:line="252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eNB</w:t>
            </w:r>
            <w:r w:rsidR="008A04A3"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: X pole (+</w:t>
            </w:r>
            <w:r w:rsidR="008A04A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/</w:t>
            </w:r>
            <w:r w:rsidR="008A04A3"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-45° )​</w:t>
            </w:r>
          </w:p>
          <w:p w14:paraId="0BB425E1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after="0" w:line="252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UE: + pol (0/90°)​</w:t>
            </w:r>
          </w:p>
        </w:tc>
      </w:tr>
      <w:tr w:rsidR="008649B7" w:rsidRPr="00AE1E13" w14:paraId="127BB575" w14:textId="77777777" w:rsidTr="009740A7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46E39ACF" w14:textId="0F7E1A6D" w:rsidR="008649B7" w:rsidRPr="00AE1E13" w:rsidRDefault="008649B7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Macro eNB antenna array</w:t>
            </w:r>
          </w:p>
        </w:tc>
        <w:tc>
          <w:tcPr>
            <w:tcW w:w="5598" w:type="dxa"/>
            <w:vAlign w:val="center"/>
          </w:tcPr>
          <w:p w14:paraId="24B6C3A1" w14:textId="06DE4260" w:rsidR="008649B7" w:rsidRPr="008649B7" w:rsidRDefault="008649B7" w:rsidP="009740A7">
            <w:pPr>
              <w:overflowPunct/>
              <w:autoSpaceDE/>
              <w:autoSpaceDN/>
              <w:adjustRightInd/>
              <w:spacing w:after="0" w:line="252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(M,N,P) = (2,4,2)</m:t>
              </m:r>
            </m:oMath>
            <w:r w:rsidRPr="008649B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E7C20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with vertical spacing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58585A"/>
                  <w:sz w:val="16"/>
                  <w:szCs w:val="16"/>
                  <w:lang w:val="en-US" w:eastAsia="en-US"/>
                </w:rPr>
                <m:t>0.8</m:t>
              </m:r>
              <m:r>
                <w:rPr>
                  <w:rFonts w:ascii="Cambria Math" w:hAnsi="Cambria Math" w:cs="Arial"/>
                  <w:color w:val="58585A"/>
                  <w:sz w:val="16"/>
                  <w:szCs w:val="16"/>
                  <w:lang w:val="en-US" w:eastAsia="en-US"/>
                </w:rPr>
                <m:t>λ</m:t>
              </m:r>
            </m:oMath>
            <w:r w:rsidRPr="001E7C20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and horizontal spacing</w:t>
            </w:r>
            <w:r w:rsidRPr="008649B7">
              <w:rPr>
                <w:rFonts w:ascii="Arial" w:hAnsi="Arial" w:cs="Arial"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0.5λ</m:t>
              </m:r>
            </m:oMath>
          </w:p>
        </w:tc>
      </w:tr>
      <w:tr w:rsidR="008A04A3" w:rsidRPr="00AE1E13" w14:paraId="4CFFD9C8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Merge w:val="restart"/>
            <w:vAlign w:val="center"/>
            <w:hideMark/>
          </w:tcPr>
          <w:p w14:paraId="2934400D" w14:textId="74684B12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Macro </w:t>
            </w:r>
            <w:r w:rsidR="00E70050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eNB</w:t>
            </w: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antenna element model​</w:t>
            </w:r>
          </w:p>
        </w:tc>
        <w:tc>
          <w:tcPr>
            <w:tcW w:w="5598" w:type="dxa"/>
            <w:vAlign w:val="center"/>
            <w:hideMark/>
          </w:tcPr>
          <w:p w14:paraId="5489FEC6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Elevation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beamwidth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= 65º​</w:t>
            </w:r>
          </w:p>
        </w:tc>
      </w:tr>
      <w:tr w:rsidR="008A04A3" w:rsidRPr="00AE1E13" w14:paraId="467BB45D" w14:textId="77777777" w:rsidTr="009740A7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Merge/>
            <w:vAlign w:val="center"/>
            <w:hideMark/>
          </w:tcPr>
          <w:p w14:paraId="0E529E0F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58585A"/>
                <w:sz w:val="24"/>
                <w:szCs w:val="24"/>
                <w:lang w:val="en-US" w:eastAsia="en-US"/>
              </w:rPr>
            </w:pPr>
          </w:p>
        </w:tc>
        <w:tc>
          <w:tcPr>
            <w:tcW w:w="5598" w:type="dxa"/>
            <w:vAlign w:val="center"/>
            <w:hideMark/>
          </w:tcPr>
          <w:p w14:paraId="1286551B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Azimuth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beamwidth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= 65º​</w:t>
            </w:r>
          </w:p>
        </w:tc>
      </w:tr>
      <w:tr w:rsidR="008A04A3" w:rsidRPr="00AE1E13" w14:paraId="1A90B66E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F1CECD2" w14:textId="77777777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UE Speed​</w:t>
            </w:r>
          </w:p>
        </w:tc>
        <w:tc>
          <w:tcPr>
            <w:tcW w:w="5598" w:type="dxa"/>
            <w:vAlign w:val="center"/>
            <w:hideMark/>
          </w:tcPr>
          <w:p w14:paraId="23B61001" w14:textId="3754CD5F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3km/h</w:t>
            </w:r>
            <w:r w:rsidR="00E70050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, 30km/h, 60km/h</w:t>
            </w: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​</w:t>
            </w:r>
          </w:p>
        </w:tc>
      </w:tr>
      <w:tr w:rsidR="008A04A3" w:rsidRPr="00AE1E13" w14:paraId="24436831" w14:textId="77777777" w:rsidTr="009740A7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2CB1CE38" w14:textId="5C20C4AF" w:rsidR="008A04A3" w:rsidRPr="00AE1E13" w:rsidRDefault="008A04A3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UE antenna</w:t>
            </w:r>
          </w:p>
        </w:tc>
        <w:tc>
          <w:tcPr>
            <w:tcW w:w="5598" w:type="dxa"/>
            <w:vAlign w:val="center"/>
            <w:hideMark/>
          </w:tcPr>
          <w:p w14:paraId="0A547F3D" w14:textId="6DFA09A8" w:rsidR="008649B7" w:rsidRDefault="008649B7" w:rsidP="008649B7">
            <w:pPr>
              <w:overflowPunct/>
              <w:autoSpaceDE/>
              <w:autoSpaceDN/>
              <w:adjustRightInd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 receive antennas</w:t>
            </w:r>
          </w:p>
          <w:p w14:paraId="3C40FD55" w14:textId="702659EB" w:rsidR="008A04A3" w:rsidRPr="00AE1E13" w:rsidRDefault="008A04A3" w:rsidP="008649B7">
            <w:pPr>
              <w:overflowPunct/>
              <w:autoSpaceDE/>
              <w:autoSpaceDN/>
              <w:adjustRightInd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Isotropic (0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dBi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) ​</w:t>
            </w:r>
          </w:p>
        </w:tc>
      </w:tr>
    </w:tbl>
    <w:p w14:paraId="57D850E8" w14:textId="77777777" w:rsidR="00F26AB0" w:rsidRDefault="00F26AB0" w:rsidP="00ED6AD6"/>
    <w:p w14:paraId="358462A9" w14:textId="7990192C" w:rsidR="00623B9C" w:rsidRDefault="00B748CF" w:rsidP="00623B9C">
      <w:pPr>
        <w:pStyle w:val="Heading2"/>
      </w:pPr>
      <w:r>
        <w:t>Assumptions for d</w:t>
      </w:r>
      <w:r w:rsidR="007E774E">
        <w:t xml:space="preserve">ownlink </w:t>
      </w:r>
      <w:r>
        <w:t>reciprocity-based</w:t>
      </w:r>
      <w:r w:rsidR="007E774E">
        <w:t xml:space="preserve"> evaluations</w:t>
      </w:r>
    </w:p>
    <w:p w14:paraId="27BD1B2D" w14:textId="40270846" w:rsidR="00962096" w:rsidRDefault="001C529F" w:rsidP="00866B64">
      <w:r w:rsidRPr="001C529F">
        <w:t xml:space="preserve">Since DL MIMO efficiency enhancements is one of the primary focuses of this work-item, the multi-symbol SRS patterns should be evaluated with focus on reciprocity-based operation.  </w:t>
      </w:r>
      <w:r>
        <w:t>For these evaluations, 2 receive antennas at the UE can be considered with 2 SRS ports.  Furthermore, a 5ms periodicity for SRS transmission can be assumed.</w:t>
      </w:r>
    </w:p>
    <w:p w14:paraId="3475426B" w14:textId="48C728CD" w:rsidR="001C529F" w:rsidRPr="001C529F" w:rsidRDefault="001C529F" w:rsidP="00866B64">
      <w:r>
        <w:t xml:space="preserve">At the eNB, the uplink channel can be estimated based on SRS and CSI-RS can be precoded </w:t>
      </w:r>
      <w:r w:rsidR="00944D95">
        <w:t>using SVD.  Precoded CSI-RS can be transmitted with a periodicity of 20ms.</w:t>
      </w:r>
      <w:r w:rsidR="00440480">
        <w:t xml:space="preserve">  For DL data transmission, both reciprocity-based wideband and subband SVD can be considered.  The evaluation assumptions for downlink reciprocity-based evaluations are summarized in </w:t>
      </w:r>
      <w:r w:rsidR="008649B7">
        <w:fldChar w:fldCharType="begin"/>
      </w:r>
      <w:r w:rsidR="008649B7">
        <w:instrText xml:space="preserve"> REF _Ref521669507 \h </w:instrText>
      </w:r>
      <w:r w:rsidR="008649B7">
        <w:fldChar w:fldCharType="separate"/>
      </w:r>
      <w:r w:rsidR="003E491E">
        <w:t xml:space="preserve">Table </w:t>
      </w:r>
      <w:r w:rsidR="003E491E">
        <w:rPr>
          <w:noProof/>
        </w:rPr>
        <w:t>2</w:t>
      </w:r>
      <w:r w:rsidR="008649B7">
        <w:fldChar w:fldCharType="end"/>
      </w:r>
      <w:r w:rsidR="00440480">
        <w:t>.</w:t>
      </w:r>
    </w:p>
    <w:p w14:paraId="14030EC9" w14:textId="50828078" w:rsidR="00440480" w:rsidRDefault="00440480" w:rsidP="00440480"/>
    <w:p w14:paraId="162AA8EA" w14:textId="11A3F59E" w:rsidR="008649B7" w:rsidRDefault="008649B7" w:rsidP="008649B7">
      <w:pPr>
        <w:pStyle w:val="Proposal"/>
      </w:pPr>
      <w:bookmarkStart w:id="4" w:name="_Toc521701963"/>
      <w:r>
        <w:t xml:space="preserve">For reciprocity-based link-level evaluations, adopt the evaluation parameters given in </w:t>
      </w:r>
      <w:r>
        <w:fldChar w:fldCharType="begin"/>
      </w:r>
      <w:r>
        <w:instrText xml:space="preserve"> REF _Ref521669507 \h </w:instrText>
      </w:r>
      <w:r>
        <w:fldChar w:fldCharType="separate"/>
      </w:r>
      <w:r w:rsidR="003E491E">
        <w:t xml:space="preserve">Table </w:t>
      </w:r>
      <w:r w:rsidR="003E491E">
        <w:rPr>
          <w:noProof/>
        </w:rPr>
        <w:t>2</w:t>
      </w:r>
      <w:r>
        <w:fldChar w:fldCharType="end"/>
      </w:r>
      <w:r w:rsidRPr="009E715F">
        <w:t>.</w:t>
      </w:r>
      <w:bookmarkEnd w:id="4"/>
    </w:p>
    <w:p w14:paraId="398749E5" w14:textId="77777777" w:rsidR="008649B7" w:rsidRDefault="008649B7" w:rsidP="00440480"/>
    <w:p w14:paraId="545AFD2D" w14:textId="10827EAA" w:rsidR="00440480" w:rsidRDefault="00440480" w:rsidP="00440480">
      <w:pPr>
        <w:pStyle w:val="Caption"/>
        <w:spacing w:after="0"/>
      </w:pPr>
      <w:bookmarkStart w:id="5" w:name="_Ref5216695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491E">
        <w:rPr>
          <w:noProof/>
        </w:rPr>
        <w:t>2</w:t>
      </w:r>
      <w:r>
        <w:fldChar w:fldCharType="end"/>
      </w:r>
      <w:bookmarkEnd w:id="5"/>
      <w:r>
        <w:t>. Link-level evaluation assumptions for reciprocity-based evaluations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3978"/>
        <w:gridCol w:w="5598"/>
      </w:tblGrid>
      <w:tr w:rsidR="00440480" w:rsidRPr="00AE1E13" w14:paraId="248A760C" w14:textId="77777777" w:rsidTr="00974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1AF7E1D" w14:textId="77777777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58585A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Cs w:val="16"/>
                <w:lang w:val="en-US" w:eastAsia="en-US"/>
              </w:rPr>
              <w:t>​Parameter</w:t>
            </w:r>
          </w:p>
        </w:tc>
        <w:tc>
          <w:tcPr>
            <w:tcW w:w="5598" w:type="dxa"/>
            <w:vAlign w:val="center"/>
            <w:hideMark/>
          </w:tcPr>
          <w:p w14:paraId="0486056A" w14:textId="77777777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lang w:val="en-US" w:eastAsia="en-US"/>
              </w:rPr>
              <w:t>Value</w:t>
            </w:r>
          </w:p>
        </w:tc>
      </w:tr>
      <w:tr w:rsidR="00440480" w:rsidRPr="00AE1E13" w14:paraId="75F5176D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6EDF6939" w14:textId="2EF11B59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Number of SRS ports</w:t>
            </w:r>
          </w:p>
        </w:tc>
        <w:tc>
          <w:tcPr>
            <w:tcW w:w="5598" w:type="dxa"/>
            <w:vAlign w:val="center"/>
            <w:hideMark/>
          </w:tcPr>
          <w:p w14:paraId="0BD498C3" w14:textId="57C04EFC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</w:t>
            </w:r>
          </w:p>
        </w:tc>
      </w:tr>
      <w:tr w:rsidR="00440480" w:rsidRPr="00AE1E13" w14:paraId="2BD9160D" w14:textId="77777777" w:rsidTr="009740A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56909F57" w14:textId="04F13586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SRS periodicity and processing delay</w:t>
            </w:r>
          </w:p>
        </w:tc>
        <w:tc>
          <w:tcPr>
            <w:tcW w:w="5598" w:type="dxa"/>
            <w:vAlign w:val="center"/>
            <w:hideMark/>
          </w:tcPr>
          <w:p w14:paraId="053DB86E" w14:textId="169A3F37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5 ms periodicity, 1 ms processing delay</w:t>
            </w:r>
          </w:p>
        </w:tc>
      </w:tr>
      <w:tr w:rsidR="00440480" w:rsidRPr="00AE1E13" w14:paraId="76F9B727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2EA9432F" w14:textId="5189A0C3" w:rsidR="00440480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SRS bandwidth</w:t>
            </w:r>
          </w:p>
        </w:tc>
        <w:tc>
          <w:tcPr>
            <w:tcW w:w="5598" w:type="dxa"/>
            <w:vAlign w:val="center"/>
          </w:tcPr>
          <w:p w14:paraId="2E831CEF" w14:textId="10757BB1" w:rsidR="00440480" w:rsidRDefault="008649B7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96 PRB SRS bandwidth as a starting point</w:t>
            </w:r>
          </w:p>
        </w:tc>
      </w:tr>
      <w:tr w:rsidR="00440480" w:rsidRPr="00AE1E13" w14:paraId="23AAF854" w14:textId="77777777" w:rsidTr="009740A7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22FAC24" w14:textId="45C801F8" w:rsidR="00440480" w:rsidRPr="00AE1E13" w:rsidRDefault="00440480" w:rsidP="009740A7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CSI-RS and CSI reporting</w:t>
            </w: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​</w:t>
            </w:r>
          </w:p>
        </w:tc>
        <w:tc>
          <w:tcPr>
            <w:tcW w:w="5598" w:type="dxa"/>
            <w:vAlign w:val="center"/>
            <w:hideMark/>
          </w:tcPr>
          <w:p w14:paraId="140E833E" w14:textId="0BCD9860" w:rsidR="00440480" w:rsidRDefault="00440480" w:rsidP="008649B7">
            <w:pPr>
              <w:overflowPunct/>
              <w:autoSpaceDE/>
              <w:autoSpaceDN/>
              <w:adjustRightInd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Precoded CSI-RS based on full-rank reciprocity based SVD;</w:t>
            </w:r>
          </w:p>
          <w:p w14:paraId="39EBBC7E" w14:textId="110C9FD3" w:rsidR="008649B7" w:rsidRPr="00440480" w:rsidRDefault="008649B7" w:rsidP="008649B7">
            <w:pPr>
              <w:overflowPunct/>
              <w:autoSpaceDE/>
              <w:autoSpaceDN/>
              <w:adjustRightInd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20 ms periodicity for both CSI-RS and CSI reporting</w:t>
            </w:r>
          </w:p>
        </w:tc>
      </w:tr>
      <w:tr w:rsidR="00440480" w:rsidRPr="00AE1E13" w14:paraId="280E2061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1057E16" w14:textId="7690C7A7" w:rsidR="00440480" w:rsidRPr="00AE1E13" w:rsidRDefault="008649B7" w:rsidP="009740A7">
            <w:pPr>
              <w:overflowPunct/>
              <w:autoSpaceDE/>
              <w:autoSpaceDN/>
              <w:adjustRightInd/>
              <w:spacing w:after="0" w:line="264" w:lineRule="auto"/>
              <w:jc w:val="left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DL Precoding</w:t>
            </w:r>
          </w:p>
        </w:tc>
        <w:tc>
          <w:tcPr>
            <w:tcW w:w="5598" w:type="dxa"/>
            <w:vAlign w:val="center"/>
            <w:hideMark/>
          </w:tcPr>
          <w:p w14:paraId="7AC30E72" w14:textId="14A10CEA" w:rsidR="00440480" w:rsidRPr="00AE1E13" w:rsidRDefault="008649B7" w:rsidP="009740A7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Both reciprocity-based wideband and subband SVD precoding (4 PRBs/subband for subband case)</w:t>
            </w:r>
          </w:p>
        </w:tc>
      </w:tr>
    </w:tbl>
    <w:p w14:paraId="0A186C2A" w14:textId="65FA4213" w:rsidR="00B748CF" w:rsidRPr="001C529F" w:rsidRDefault="00B748CF" w:rsidP="00866B64"/>
    <w:p w14:paraId="56A93C8A" w14:textId="77777777" w:rsidR="00623B9C" w:rsidRDefault="00623B9C" w:rsidP="00866B64">
      <w:pPr>
        <w:rPr>
          <w:color w:val="FF0000"/>
          <w:u w:val="single"/>
        </w:rPr>
      </w:pPr>
    </w:p>
    <w:p w14:paraId="5A9E45F8" w14:textId="629FCE58" w:rsidR="00832BF8" w:rsidRDefault="00832BF8" w:rsidP="007368B4">
      <w:pPr>
        <w:pStyle w:val="Heading1"/>
      </w:pPr>
      <w:r>
        <w:t>Conclusion</w:t>
      </w:r>
    </w:p>
    <w:p w14:paraId="56386004" w14:textId="760C9DDE" w:rsidR="00832BF8" w:rsidRPr="007D7AF1" w:rsidRDefault="004A7067" w:rsidP="00832BF8">
      <w:r w:rsidRPr="007D7AF1">
        <w:t xml:space="preserve">In this paper, </w:t>
      </w:r>
      <w:r w:rsidR="007D7AF1" w:rsidRPr="007D7AF1">
        <w:t>we provide our views on the simulation assumptions for SRS enhancements</w:t>
      </w:r>
      <w:r w:rsidRPr="007D7AF1">
        <w:t xml:space="preserve">. </w:t>
      </w:r>
      <w:r w:rsidR="00630B16" w:rsidRPr="007D7AF1">
        <w:t>Based on the discussion in Section 2, we make the following</w:t>
      </w:r>
      <w:r w:rsidR="00233EF0" w:rsidRPr="007D7AF1">
        <w:t xml:space="preserve"> proposals:</w:t>
      </w:r>
    </w:p>
    <w:p w14:paraId="2420A54D" w14:textId="77777777" w:rsidR="00630B16" w:rsidRPr="007D7AF1" w:rsidRDefault="00630B16" w:rsidP="00832BF8"/>
    <w:p w14:paraId="0874ACA2" w14:textId="570769F3" w:rsidR="003E491E" w:rsidRDefault="00233EF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D7AF1">
        <w:lastRenderedPageBreak/>
        <w:fldChar w:fldCharType="begin"/>
      </w:r>
      <w:r w:rsidRPr="007D7AF1">
        <w:instrText xml:space="preserve"> TOC \n \h \z \t "Proposal,1" </w:instrText>
      </w:r>
      <w:r w:rsidRPr="007D7AF1">
        <w:fldChar w:fldCharType="separate"/>
      </w:r>
      <w:hyperlink w:anchor="_Toc521701961" w:history="1">
        <w:r w:rsidR="003E491E" w:rsidRPr="008538C5">
          <w:rPr>
            <w:rStyle w:val="Hyperlink"/>
          </w:rPr>
          <w:t>Proposal 1</w:t>
        </w:r>
        <w:r w:rsidR="003E491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E491E" w:rsidRPr="008538C5">
          <w:rPr>
            <w:rStyle w:val="Hyperlink"/>
          </w:rPr>
          <w:t>Use CDL-A model from 38.901 as a starting point for link-level evaluations; delay spreads of either 100ns or 300ns can be assumed.</w:t>
        </w:r>
      </w:hyperlink>
    </w:p>
    <w:p w14:paraId="7F0F87A2" w14:textId="723CE05C" w:rsidR="003E491E" w:rsidRDefault="003E491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1701962" w:history="1">
        <w:r w:rsidRPr="008538C5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538C5">
          <w:rPr>
            <w:rStyle w:val="Hyperlink"/>
          </w:rPr>
          <w:t>For link-level evaluations, adopt link-level evaluation parameters given in Table 1.</w:t>
        </w:r>
      </w:hyperlink>
    </w:p>
    <w:p w14:paraId="11D34851" w14:textId="2D441A84" w:rsidR="003E491E" w:rsidRDefault="003E491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1701963" w:history="1">
        <w:r w:rsidRPr="008538C5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538C5">
          <w:rPr>
            <w:rStyle w:val="Hyperlink"/>
          </w:rPr>
          <w:t>For reciprocity-based link-level evaluations, adopt the evaluation parameters given in Table 2.</w:t>
        </w:r>
      </w:hyperlink>
    </w:p>
    <w:p w14:paraId="5D3E2A27" w14:textId="4A931AB7" w:rsidR="00233EF0" w:rsidRPr="007D7AF1" w:rsidRDefault="00233EF0" w:rsidP="00832BF8">
      <w:r w:rsidRPr="007D7AF1">
        <w:fldChar w:fldCharType="end"/>
      </w:r>
    </w:p>
    <w:p w14:paraId="52B216AB" w14:textId="77777777" w:rsidR="000E6D01" w:rsidRPr="007D7AF1" w:rsidRDefault="000E6D01" w:rsidP="00832BF8"/>
    <w:p w14:paraId="0FC0BF1F" w14:textId="6F2431FA" w:rsidR="007368B4" w:rsidRPr="007D7AF1" w:rsidRDefault="007368B4" w:rsidP="007368B4">
      <w:pPr>
        <w:pStyle w:val="Heading1"/>
      </w:pPr>
      <w:r w:rsidRPr="007D7AF1">
        <w:t>References</w:t>
      </w:r>
    </w:p>
    <w:p w14:paraId="5B8E6B91" w14:textId="28BA0A94" w:rsidR="00C6554C" w:rsidRPr="007D7AF1" w:rsidRDefault="007368B4" w:rsidP="007368B4">
      <w:r w:rsidRPr="007D7AF1">
        <w:t xml:space="preserve">[1] </w:t>
      </w:r>
      <w:hyperlink r:id="rId8" w:history="1">
        <w:r w:rsidR="00C6554C" w:rsidRPr="007D7AF1">
          <w:rPr>
            <w:rFonts w:hint="eastAsia"/>
          </w:rPr>
          <w:t>RP-1</w:t>
        </w:r>
        <w:r w:rsidR="00C6554C" w:rsidRPr="007D7AF1">
          <w:t>81485</w:t>
        </w:r>
      </w:hyperlink>
      <w:r w:rsidR="00083C5B" w:rsidRPr="007D7AF1">
        <w:t xml:space="preserve"> WID on DL MIMO enhancements</w:t>
      </w:r>
    </w:p>
    <w:p w14:paraId="7CA0360E" w14:textId="5243118F" w:rsidR="00AE1E13" w:rsidRPr="007D7AF1" w:rsidRDefault="00ED6AD6" w:rsidP="00251916">
      <w:r w:rsidRPr="007D7AF1">
        <w:t xml:space="preserve">[2] </w:t>
      </w:r>
      <w:r w:rsidR="00A50D5F" w:rsidRPr="007D7AF1">
        <w:t>38.901V15.0.0 (June 2018)</w:t>
      </w:r>
    </w:p>
    <w:sectPr w:rsidR="00AE1E13" w:rsidRPr="007D7AF1" w:rsidSect="00C02A4C">
      <w:headerReference w:type="even" r:id="rId9"/>
      <w:footerReference w:type="default" r:id="rId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BF1D3" w14:textId="77777777" w:rsidR="002A387F" w:rsidRDefault="002A387F">
      <w:r>
        <w:separator/>
      </w:r>
    </w:p>
  </w:endnote>
  <w:endnote w:type="continuationSeparator" w:id="0">
    <w:p w14:paraId="21CA146D" w14:textId="77777777" w:rsidR="002A387F" w:rsidRDefault="002A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524A2" w14:textId="77777777" w:rsidR="002A387F" w:rsidRDefault="002A387F">
      <w:r>
        <w:separator/>
      </w:r>
    </w:p>
  </w:footnote>
  <w:footnote w:type="continuationSeparator" w:id="0">
    <w:p w14:paraId="2A7D5F18" w14:textId="77777777" w:rsidR="002A387F" w:rsidRDefault="002A3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F5054B"/>
    <w:multiLevelType w:val="hybridMultilevel"/>
    <w:tmpl w:val="A8045148"/>
    <w:lvl w:ilvl="0" w:tplc="7EB2F9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5"/>
  </w:num>
  <w:num w:numId="16">
    <w:abstractNumId w:val="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42DF"/>
    <w:rsid w:val="00015D15"/>
    <w:rsid w:val="00016613"/>
    <w:rsid w:val="00016F17"/>
    <w:rsid w:val="00017ECF"/>
    <w:rsid w:val="00021F7C"/>
    <w:rsid w:val="00022AD0"/>
    <w:rsid w:val="0002564D"/>
    <w:rsid w:val="00025ECA"/>
    <w:rsid w:val="000260F0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16C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3C5B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678B"/>
    <w:rsid w:val="000E6D01"/>
    <w:rsid w:val="000E7490"/>
    <w:rsid w:val="000E77B8"/>
    <w:rsid w:val="000F06D6"/>
    <w:rsid w:val="000F0EB1"/>
    <w:rsid w:val="000F1106"/>
    <w:rsid w:val="000F3BE9"/>
    <w:rsid w:val="000F3F6C"/>
    <w:rsid w:val="000F47C6"/>
    <w:rsid w:val="000F54D6"/>
    <w:rsid w:val="000F600C"/>
    <w:rsid w:val="000F6D00"/>
    <w:rsid w:val="000F6DF3"/>
    <w:rsid w:val="001005FF"/>
    <w:rsid w:val="0010488A"/>
    <w:rsid w:val="001062FB"/>
    <w:rsid w:val="001063E6"/>
    <w:rsid w:val="00110ECA"/>
    <w:rsid w:val="001118A8"/>
    <w:rsid w:val="00113CF4"/>
    <w:rsid w:val="001153EA"/>
    <w:rsid w:val="00115643"/>
    <w:rsid w:val="00116765"/>
    <w:rsid w:val="001170AB"/>
    <w:rsid w:val="00120474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13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529F"/>
    <w:rsid w:val="001C6D57"/>
    <w:rsid w:val="001D4B47"/>
    <w:rsid w:val="001D51BA"/>
    <w:rsid w:val="001D56AE"/>
    <w:rsid w:val="001D6342"/>
    <w:rsid w:val="001D6D53"/>
    <w:rsid w:val="001D7960"/>
    <w:rsid w:val="001E0DEF"/>
    <w:rsid w:val="001E2560"/>
    <w:rsid w:val="001E5176"/>
    <w:rsid w:val="001E58E2"/>
    <w:rsid w:val="001E5AF2"/>
    <w:rsid w:val="001E7AED"/>
    <w:rsid w:val="001E7C20"/>
    <w:rsid w:val="001F0538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2B59"/>
    <w:rsid w:val="0021471C"/>
    <w:rsid w:val="00214B70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3EF0"/>
    <w:rsid w:val="00234CA0"/>
    <w:rsid w:val="00235632"/>
    <w:rsid w:val="00235872"/>
    <w:rsid w:val="00240462"/>
    <w:rsid w:val="00241559"/>
    <w:rsid w:val="00241D26"/>
    <w:rsid w:val="002435B3"/>
    <w:rsid w:val="002451ED"/>
    <w:rsid w:val="002458EB"/>
    <w:rsid w:val="002465C9"/>
    <w:rsid w:val="00247E38"/>
    <w:rsid w:val="002500C8"/>
    <w:rsid w:val="00251916"/>
    <w:rsid w:val="00253AAD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07C0"/>
    <w:rsid w:val="00281F64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387F"/>
    <w:rsid w:val="002A4F9F"/>
    <w:rsid w:val="002B1994"/>
    <w:rsid w:val="002B1A1F"/>
    <w:rsid w:val="002B1EFF"/>
    <w:rsid w:val="002B24D6"/>
    <w:rsid w:val="002B6176"/>
    <w:rsid w:val="002B73A8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668"/>
    <w:rsid w:val="002E5B7A"/>
    <w:rsid w:val="002E6401"/>
    <w:rsid w:val="002E72A7"/>
    <w:rsid w:val="002E7CAE"/>
    <w:rsid w:val="002F0C55"/>
    <w:rsid w:val="002F1E1F"/>
    <w:rsid w:val="002F2771"/>
    <w:rsid w:val="002F2FE8"/>
    <w:rsid w:val="002F37A9"/>
    <w:rsid w:val="002F6288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15FA2"/>
    <w:rsid w:val="003203ED"/>
    <w:rsid w:val="003212B8"/>
    <w:rsid w:val="00321A94"/>
    <w:rsid w:val="00322C9F"/>
    <w:rsid w:val="00322F83"/>
    <w:rsid w:val="00324D23"/>
    <w:rsid w:val="00325704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DC6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1525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19E"/>
    <w:rsid w:val="003E25F0"/>
    <w:rsid w:val="003E491E"/>
    <w:rsid w:val="003E55E4"/>
    <w:rsid w:val="003E74E3"/>
    <w:rsid w:val="003E7670"/>
    <w:rsid w:val="003F05C7"/>
    <w:rsid w:val="003F1C23"/>
    <w:rsid w:val="003F1FD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9D1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0480"/>
    <w:rsid w:val="00441782"/>
    <w:rsid w:val="00441A92"/>
    <w:rsid w:val="0044343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5B2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A7067"/>
    <w:rsid w:val="004B306B"/>
    <w:rsid w:val="004B7C0C"/>
    <w:rsid w:val="004C36AD"/>
    <w:rsid w:val="004C3898"/>
    <w:rsid w:val="004C56DF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4DE6"/>
    <w:rsid w:val="004E56DC"/>
    <w:rsid w:val="004E6A85"/>
    <w:rsid w:val="004E76F4"/>
    <w:rsid w:val="004F032D"/>
    <w:rsid w:val="004F0B4E"/>
    <w:rsid w:val="004F0B6C"/>
    <w:rsid w:val="004F0CC7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279DD"/>
    <w:rsid w:val="00532632"/>
    <w:rsid w:val="00534755"/>
    <w:rsid w:val="00534B59"/>
    <w:rsid w:val="00534E6D"/>
    <w:rsid w:val="00536759"/>
    <w:rsid w:val="00536D7D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55C"/>
    <w:rsid w:val="00573920"/>
    <w:rsid w:val="00573C3B"/>
    <w:rsid w:val="00573CFD"/>
    <w:rsid w:val="00573D3D"/>
    <w:rsid w:val="00575DA6"/>
    <w:rsid w:val="005814C6"/>
    <w:rsid w:val="00581E84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4046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4D9C"/>
    <w:rsid w:val="00615D33"/>
    <w:rsid w:val="00617D79"/>
    <w:rsid w:val="00620A71"/>
    <w:rsid w:val="00620D80"/>
    <w:rsid w:val="006234A6"/>
    <w:rsid w:val="00623B9C"/>
    <w:rsid w:val="00625742"/>
    <w:rsid w:val="00627514"/>
    <w:rsid w:val="006278D1"/>
    <w:rsid w:val="00630001"/>
    <w:rsid w:val="00630B16"/>
    <w:rsid w:val="006311B3"/>
    <w:rsid w:val="00631EF2"/>
    <w:rsid w:val="0063284C"/>
    <w:rsid w:val="006333A0"/>
    <w:rsid w:val="00634FB2"/>
    <w:rsid w:val="006356CF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C2F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9737D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0286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13C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6F7DEB"/>
    <w:rsid w:val="00701516"/>
    <w:rsid w:val="0070162B"/>
    <w:rsid w:val="00701DCE"/>
    <w:rsid w:val="0070346E"/>
    <w:rsid w:val="00703D21"/>
    <w:rsid w:val="00704EDB"/>
    <w:rsid w:val="00706101"/>
    <w:rsid w:val="00707072"/>
    <w:rsid w:val="00707D61"/>
    <w:rsid w:val="00710781"/>
    <w:rsid w:val="00712287"/>
    <w:rsid w:val="00712772"/>
    <w:rsid w:val="00713485"/>
    <w:rsid w:val="007148D3"/>
    <w:rsid w:val="00715B9A"/>
    <w:rsid w:val="00715C1B"/>
    <w:rsid w:val="00717834"/>
    <w:rsid w:val="00717E83"/>
    <w:rsid w:val="007227B2"/>
    <w:rsid w:val="0072663A"/>
    <w:rsid w:val="00726CE7"/>
    <w:rsid w:val="00726EA6"/>
    <w:rsid w:val="00727208"/>
    <w:rsid w:val="00727680"/>
    <w:rsid w:val="007320B8"/>
    <w:rsid w:val="007348B1"/>
    <w:rsid w:val="00734AAF"/>
    <w:rsid w:val="007362A6"/>
    <w:rsid w:val="007368B4"/>
    <w:rsid w:val="00736D7D"/>
    <w:rsid w:val="00737FB0"/>
    <w:rsid w:val="00740E58"/>
    <w:rsid w:val="00742802"/>
    <w:rsid w:val="00742A80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280C"/>
    <w:rsid w:val="0077381A"/>
    <w:rsid w:val="00774D93"/>
    <w:rsid w:val="007755F2"/>
    <w:rsid w:val="00776705"/>
    <w:rsid w:val="00776971"/>
    <w:rsid w:val="00777255"/>
    <w:rsid w:val="007775CC"/>
    <w:rsid w:val="00777D37"/>
    <w:rsid w:val="00777E08"/>
    <w:rsid w:val="00777F7A"/>
    <w:rsid w:val="00781425"/>
    <w:rsid w:val="0078177E"/>
    <w:rsid w:val="00783001"/>
    <w:rsid w:val="0078304C"/>
    <w:rsid w:val="00783673"/>
    <w:rsid w:val="00785490"/>
    <w:rsid w:val="00786D24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166B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AF1"/>
    <w:rsid w:val="007D7BC4"/>
    <w:rsid w:val="007E01B7"/>
    <w:rsid w:val="007E0479"/>
    <w:rsid w:val="007E2F26"/>
    <w:rsid w:val="007E4610"/>
    <w:rsid w:val="007E4715"/>
    <w:rsid w:val="007E4B43"/>
    <w:rsid w:val="007E505B"/>
    <w:rsid w:val="007E7091"/>
    <w:rsid w:val="007E774E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07CA0"/>
    <w:rsid w:val="00810A3F"/>
    <w:rsid w:val="008112E8"/>
    <w:rsid w:val="00811B55"/>
    <w:rsid w:val="00811FCB"/>
    <w:rsid w:val="008142D6"/>
    <w:rsid w:val="00814DF6"/>
    <w:rsid w:val="0081579A"/>
    <w:rsid w:val="008158D6"/>
    <w:rsid w:val="00817196"/>
    <w:rsid w:val="00817304"/>
    <w:rsid w:val="008235DB"/>
    <w:rsid w:val="00824AB4"/>
    <w:rsid w:val="00825C42"/>
    <w:rsid w:val="00825D25"/>
    <w:rsid w:val="00827D6F"/>
    <w:rsid w:val="00832BF8"/>
    <w:rsid w:val="00834689"/>
    <w:rsid w:val="0083554F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49B7"/>
    <w:rsid w:val="00865E18"/>
    <w:rsid w:val="00865E90"/>
    <w:rsid w:val="00866B64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38BA"/>
    <w:rsid w:val="00894A88"/>
    <w:rsid w:val="00895386"/>
    <w:rsid w:val="008A04A3"/>
    <w:rsid w:val="008A1D9D"/>
    <w:rsid w:val="008A21FF"/>
    <w:rsid w:val="008A2CE2"/>
    <w:rsid w:val="008A30AC"/>
    <w:rsid w:val="008A44B8"/>
    <w:rsid w:val="008A5182"/>
    <w:rsid w:val="008A51A8"/>
    <w:rsid w:val="008A54C7"/>
    <w:rsid w:val="008A77D8"/>
    <w:rsid w:val="008B0483"/>
    <w:rsid w:val="008B120C"/>
    <w:rsid w:val="008B2910"/>
    <w:rsid w:val="008B4AE9"/>
    <w:rsid w:val="008B51A0"/>
    <w:rsid w:val="008B5268"/>
    <w:rsid w:val="008B592A"/>
    <w:rsid w:val="008B7B5C"/>
    <w:rsid w:val="008C0AD7"/>
    <w:rsid w:val="008C0C99"/>
    <w:rsid w:val="008C1F28"/>
    <w:rsid w:val="008C2017"/>
    <w:rsid w:val="008C2913"/>
    <w:rsid w:val="008C32A6"/>
    <w:rsid w:val="008C4958"/>
    <w:rsid w:val="008C4BAA"/>
    <w:rsid w:val="008C5641"/>
    <w:rsid w:val="008C6AE8"/>
    <w:rsid w:val="008C7573"/>
    <w:rsid w:val="008D10E2"/>
    <w:rsid w:val="008D2BA4"/>
    <w:rsid w:val="008D34F1"/>
    <w:rsid w:val="008D38BD"/>
    <w:rsid w:val="008D39D8"/>
    <w:rsid w:val="008D53B6"/>
    <w:rsid w:val="008D6D1A"/>
    <w:rsid w:val="008E065E"/>
    <w:rsid w:val="008E0927"/>
    <w:rsid w:val="008E09D0"/>
    <w:rsid w:val="008E1909"/>
    <w:rsid w:val="008E2A3E"/>
    <w:rsid w:val="008E5D6C"/>
    <w:rsid w:val="008E5E96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4D95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2096"/>
    <w:rsid w:val="0096430A"/>
    <w:rsid w:val="009647C7"/>
    <w:rsid w:val="0096554B"/>
    <w:rsid w:val="0096584A"/>
    <w:rsid w:val="00971F08"/>
    <w:rsid w:val="00971FA7"/>
    <w:rsid w:val="00973C34"/>
    <w:rsid w:val="0097493A"/>
    <w:rsid w:val="0097603D"/>
    <w:rsid w:val="009766F5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A38"/>
    <w:rsid w:val="009B7E87"/>
    <w:rsid w:val="009C403E"/>
    <w:rsid w:val="009C6832"/>
    <w:rsid w:val="009D1F11"/>
    <w:rsid w:val="009D3180"/>
    <w:rsid w:val="009D4178"/>
    <w:rsid w:val="009D4FF0"/>
    <w:rsid w:val="009D64FB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E715F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5188"/>
    <w:rsid w:val="00A36297"/>
    <w:rsid w:val="00A41E2B"/>
    <w:rsid w:val="00A4597C"/>
    <w:rsid w:val="00A45B74"/>
    <w:rsid w:val="00A47318"/>
    <w:rsid w:val="00A50D5F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352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5C38"/>
    <w:rsid w:val="00AC7789"/>
    <w:rsid w:val="00AD0AA3"/>
    <w:rsid w:val="00AD3F94"/>
    <w:rsid w:val="00AD45AE"/>
    <w:rsid w:val="00AD4A5A"/>
    <w:rsid w:val="00AD5203"/>
    <w:rsid w:val="00AD5F0B"/>
    <w:rsid w:val="00AE1E13"/>
    <w:rsid w:val="00AE27AC"/>
    <w:rsid w:val="00AE2FEB"/>
    <w:rsid w:val="00AE40E0"/>
    <w:rsid w:val="00AE4DBA"/>
    <w:rsid w:val="00AE4F07"/>
    <w:rsid w:val="00AE5B8D"/>
    <w:rsid w:val="00AE736C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1FFB"/>
    <w:rsid w:val="00B36A76"/>
    <w:rsid w:val="00B36F5B"/>
    <w:rsid w:val="00B372AA"/>
    <w:rsid w:val="00B40445"/>
    <w:rsid w:val="00B41888"/>
    <w:rsid w:val="00B45308"/>
    <w:rsid w:val="00B45A52"/>
    <w:rsid w:val="00B46175"/>
    <w:rsid w:val="00B5176B"/>
    <w:rsid w:val="00B53F90"/>
    <w:rsid w:val="00B5441F"/>
    <w:rsid w:val="00B56376"/>
    <w:rsid w:val="00B56474"/>
    <w:rsid w:val="00B62B2A"/>
    <w:rsid w:val="00B65120"/>
    <w:rsid w:val="00B664C7"/>
    <w:rsid w:val="00B67F1E"/>
    <w:rsid w:val="00B700A7"/>
    <w:rsid w:val="00B739F6"/>
    <w:rsid w:val="00B748CF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755"/>
    <w:rsid w:val="00B91A6C"/>
    <w:rsid w:val="00B929E5"/>
    <w:rsid w:val="00B92C8F"/>
    <w:rsid w:val="00B93B59"/>
    <w:rsid w:val="00B9406A"/>
    <w:rsid w:val="00BA2280"/>
    <w:rsid w:val="00BA2A08"/>
    <w:rsid w:val="00BA4847"/>
    <w:rsid w:val="00BA56D2"/>
    <w:rsid w:val="00BA61B7"/>
    <w:rsid w:val="00BA76E0"/>
    <w:rsid w:val="00BA7DF6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C5497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0794"/>
    <w:rsid w:val="00C015F1"/>
    <w:rsid w:val="00C01F33"/>
    <w:rsid w:val="00C02978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1F86"/>
    <w:rsid w:val="00C33B33"/>
    <w:rsid w:val="00C3619C"/>
    <w:rsid w:val="00C3719D"/>
    <w:rsid w:val="00C42490"/>
    <w:rsid w:val="00C4445A"/>
    <w:rsid w:val="00C46BC0"/>
    <w:rsid w:val="00C4762D"/>
    <w:rsid w:val="00C47FAC"/>
    <w:rsid w:val="00C54995"/>
    <w:rsid w:val="00C54D41"/>
    <w:rsid w:val="00C56E7A"/>
    <w:rsid w:val="00C6011A"/>
    <w:rsid w:val="00C60783"/>
    <w:rsid w:val="00C60CBA"/>
    <w:rsid w:val="00C62558"/>
    <w:rsid w:val="00C64644"/>
    <w:rsid w:val="00C64672"/>
    <w:rsid w:val="00C64B37"/>
    <w:rsid w:val="00C6554C"/>
    <w:rsid w:val="00C70697"/>
    <w:rsid w:val="00C71F71"/>
    <w:rsid w:val="00C72EF4"/>
    <w:rsid w:val="00C73202"/>
    <w:rsid w:val="00C73FA8"/>
    <w:rsid w:val="00C75D2F"/>
    <w:rsid w:val="00C75E8F"/>
    <w:rsid w:val="00C767BE"/>
    <w:rsid w:val="00C76987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86B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241A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1470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56CC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5195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1A9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50F1"/>
    <w:rsid w:val="00D86CA3"/>
    <w:rsid w:val="00D871CE"/>
    <w:rsid w:val="00D8741A"/>
    <w:rsid w:val="00D9196D"/>
    <w:rsid w:val="00D92982"/>
    <w:rsid w:val="00D9433E"/>
    <w:rsid w:val="00D959E8"/>
    <w:rsid w:val="00DA1CF0"/>
    <w:rsid w:val="00DA305E"/>
    <w:rsid w:val="00DA503B"/>
    <w:rsid w:val="00DA5417"/>
    <w:rsid w:val="00DA56E8"/>
    <w:rsid w:val="00DA59C5"/>
    <w:rsid w:val="00DB0A9F"/>
    <w:rsid w:val="00DB183C"/>
    <w:rsid w:val="00DB377D"/>
    <w:rsid w:val="00DB7696"/>
    <w:rsid w:val="00DC2D36"/>
    <w:rsid w:val="00DC53CC"/>
    <w:rsid w:val="00DC53EF"/>
    <w:rsid w:val="00DD09A8"/>
    <w:rsid w:val="00DD42D8"/>
    <w:rsid w:val="00DE394D"/>
    <w:rsid w:val="00DE47A5"/>
    <w:rsid w:val="00DE5608"/>
    <w:rsid w:val="00DE58D0"/>
    <w:rsid w:val="00DE654F"/>
    <w:rsid w:val="00DF0B6E"/>
    <w:rsid w:val="00DF15E0"/>
    <w:rsid w:val="00DF28E5"/>
    <w:rsid w:val="00DF30D2"/>
    <w:rsid w:val="00DF37A0"/>
    <w:rsid w:val="00DF4D0D"/>
    <w:rsid w:val="00DF4D3E"/>
    <w:rsid w:val="00DF6E1C"/>
    <w:rsid w:val="00E02C39"/>
    <w:rsid w:val="00E110E7"/>
    <w:rsid w:val="00E11B20"/>
    <w:rsid w:val="00E122EB"/>
    <w:rsid w:val="00E125FC"/>
    <w:rsid w:val="00E148D3"/>
    <w:rsid w:val="00E1543D"/>
    <w:rsid w:val="00E154D4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050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18CB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161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224F"/>
    <w:rsid w:val="00ED5E1D"/>
    <w:rsid w:val="00ED6AD6"/>
    <w:rsid w:val="00EE29E6"/>
    <w:rsid w:val="00EE59C8"/>
    <w:rsid w:val="00EF025F"/>
    <w:rsid w:val="00EF09B1"/>
    <w:rsid w:val="00EF18FE"/>
    <w:rsid w:val="00EF196F"/>
    <w:rsid w:val="00EF4780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435C"/>
    <w:rsid w:val="00F15FA5"/>
    <w:rsid w:val="00F204A3"/>
    <w:rsid w:val="00F209B7"/>
    <w:rsid w:val="00F20C76"/>
    <w:rsid w:val="00F2136A"/>
    <w:rsid w:val="00F2376F"/>
    <w:rsid w:val="00F243D8"/>
    <w:rsid w:val="00F24C49"/>
    <w:rsid w:val="00F256C7"/>
    <w:rsid w:val="00F25B66"/>
    <w:rsid w:val="00F26AB0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3E90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960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55D"/>
    <w:rsid w:val="00F97838"/>
    <w:rsid w:val="00FA0532"/>
    <w:rsid w:val="00FA2BB3"/>
    <w:rsid w:val="00FA3BB7"/>
    <w:rsid w:val="00FA4C62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2B40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2B36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CharChar3CharCharCharCharCharChar">
    <w:name w:val="Char Char3 Char Char Char Char Char Char"/>
    <w:semiHidden/>
    <w:rsid w:val="0078142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paragraph">
    <w:name w:val="paragraph"/>
    <w:basedOn w:val="Normal"/>
    <w:rsid w:val="00AE1E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AE1E13"/>
  </w:style>
  <w:style w:type="character" w:customStyle="1" w:styleId="eop">
    <w:name w:val="eop"/>
    <w:basedOn w:val="DefaultParagraphFont"/>
    <w:rsid w:val="00AE1E13"/>
  </w:style>
  <w:style w:type="character" w:customStyle="1" w:styleId="spellingerror">
    <w:name w:val="spellingerror"/>
    <w:basedOn w:val="DefaultParagraphFont"/>
    <w:rsid w:val="00AE1E13"/>
  </w:style>
  <w:style w:type="table" w:customStyle="1" w:styleId="Style1">
    <w:name w:val="Style1"/>
    <w:basedOn w:val="ColorfulList-Accent5"/>
    <w:uiPriority w:val="99"/>
    <w:rsid w:val="00AE1E13"/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AE1E13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E1E13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3">
    <w:name w:val="Grid Table 5 Dark Accent 3"/>
    <w:basedOn w:val="TableNormal"/>
    <w:uiPriority w:val="50"/>
    <w:rsid w:val="00AE1E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8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6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9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1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1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0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9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7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5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0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8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7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6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8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7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7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8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9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7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0/Docs/RP-18148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50E11-44DB-45C5-87AC-DE5825AB0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4397</Characters>
  <Application>Microsoft Office Word</Application>
  <DocSecurity>0</DocSecurity>
  <Lines>36</Lines>
  <Paragraphs>10</Paragraphs>
  <ScaleCrop>false</ScaleCrop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2018-08-11T02:04:00Z</dcterms:created>
  <dcterms:modified xsi:type="dcterms:W3CDTF">2018-08-11T02:04:00Z</dcterms:modified>
</cp:coreProperties>
</file>